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color w:val="000000"/>
          <w:kern w:val="0"/>
          <w:sz w:val="28"/>
          <w:szCs w:val="28"/>
          <w:lang w:bidi="ar"/>
        </w:rPr>
      </w:pPr>
      <w:bookmarkStart w:id="0" w:name="_Toc39774324"/>
      <w:bookmarkStart w:id="1" w:name="_Toc386630510"/>
      <w:bookmarkStart w:id="2" w:name="_Toc35947626"/>
      <w:r>
        <w:rPr>
          <w:rFonts w:hint="eastAsia"/>
        </w:rPr>
        <w:t>产品介绍</w:t>
      </w:r>
      <w:bookmarkEnd w:id="0"/>
      <w:bookmarkEnd w:id="1"/>
      <w:bookmarkEnd w:id="2"/>
    </w:p>
    <w:p>
      <w:pPr>
        <w:widowControl/>
        <w:ind w:firstLine="440" w:firstLineChars="200"/>
        <w:jc w:val="left"/>
        <w:rPr>
          <w:rFonts w:hint="eastAsia" w:ascii="宋体" w:hAnsi="宋体" w:cs="宋体"/>
          <w:color w:val="333333"/>
          <w:kern w:val="0"/>
          <w:sz w:val="22"/>
          <w:szCs w:val="22"/>
        </w:rPr>
      </w:pPr>
      <w:r>
        <w:rPr>
          <w:rFonts w:hint="eastAsia" w:ascii="宋体" w:hAnsi="宋体" w:cs="宋体"/>
          <w:color w:val="333333"/>
          <w:kern w:val="0"/>
          <w:sz w:val="22"/>
          <w:szCs w:val="22"/>
          <w:lang w:val="en-US" w:eastAsia="zh-CN"/>
        </w:rPr>
        <w:t>VL1000-ZL100融合主机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是将数据，语音和视 频集成在一个产品中用于中小型企业的理想解决方案。先进的设计提供无与伦比的性能，灵活性，可靠性，可用性 和保持最高的性价比。 综合网关的关键思想是根据不同需求选择硬件搭 配并通过高速以太网总线连接。总线信号和功率轨迹组合到机箱的背板。通过以太网将不同的适配器通过统一的连接器连接到背板。 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pStyle w:val="2"/>
        <w:rPr>
          <w:rFonts w:hint="eastAsia"/>
        </w:rPr>
      </w:pPr>
      <w:bookmarkStart w:id="3" w:name="_Toc39774325"/>
      <w:r>
        <w:rPr>
          <w:rFonts w:hint="eastAsia"/>
        </w:rPr>
        <w:t>产品特点</w:t>
      </w:r>
      <w:bookmarkEnd w:id="3"/>
      <w:bookmarkStart w:id="5" w:name="_GoBack"/>
      <w:bookmarkEnd w:id="5"/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 xml:space="preserve">可靠性 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无缘背板 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支持热插拔 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可插拔风扇模块 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避免单点故障 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星型拓扑总线 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智能模块 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>紧凑型</w:t>
      </w:r>
      <w:r>
        <w:rPr>
          <w:rFonts w:ascii="宋体" w:hAnsi="宋体" w:cs="宋体"/>
          <w:color w:val="333333"/>
          <w:kern w:val="0"/>
          <w:sz w:val="22"/>
          <w:szCs w:val="22"/>
        </w:rPr>
        <w:t>PCI</w:t>
      </w:r>
    </w:p>
    <w:p>
      <w:pPr>
        <w:widowControl/>
        <w:jc w:val="left"/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 xml:space="preserve">可用性 </w:t>
      </w:r>
    </w:p>
    <w:p>
      <w:pPr>
        <w:widowControl/>
        <w:jc w:val="left"/>
      </w:pPr>
      <w:r>
        <w:rPr>
          <w:rFonts w:ascii="Symbol" w:hAnsi="Symbol" w:cs="Symbol"/>
          <w:color w:val="000000"/>
          <w:kern w:val="0"/>
          <w:sz w:val="19"/>
          <w:szCs w:val="19"/>
          <w:lang w:bidi="ar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>多种软件选择：</w:t>
      </w:r>
      <w:r>
        <w:rPr>
          <w:rFonts w:ascii="宋体" w:hAnsi="宋体" w:cs="宋体"/>
          <w:color w:val="333333"/>
          <w:kern w:val="0"/>
          <w:sz w:val="22"/>
          <w:szCs w:val="22"/>
        </w:rPr>
        <w:t xml:space="preserve">Asterisk, Elastix, Freepbx, 3CX 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等 </w:t>
      </w:r>
    </w:p>
    <w:p>
      <w:pPr>
        <w:widowControl/>
        <w:jc w:val="left"/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 xml:space="preserve">灵活性 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>对称模块设计盖小尺寸台式机架可安装</w:t>
      </w:r>
      <w:r>
        <w:rPr>
          <w:rFonts w:ascii="宋体" w:hAnsi="宋体" w:cs="宋体"/>
          <w:color w:val="333333"/>
          <w:kern w:val="0"/>
          <w:sz w:val="22"/>
          <w:szCs w:val="22"/>
        </w:rPr>
        <w:t>2U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以及更多 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 xml:space="preserve">FXS/FXO 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>模拟用户/模拟中继板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 xml:space="preserve">GSM 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    无线语音短信板（支持GSM或4G全网通）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 xml:space="preserve">T1/E1 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    数字中继板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主板    </w:t>
      </w:r>
      <w:r>
        <w:rPr>
          <w:rFonts w:ascii="宋体" w:hAnsi="宋体" w:cs="宋体"/>
          <w:color w:val="333333"/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>X86架构业务服务板（I5和J1900等配置）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>4W</w:t>
      </w:r>
      <w:r>
        <w:rPr>
          <w:rFonts w:ascii="宋体" w:hAnsi="宋体" w:cs="宋体"/>
          <w:color w:val="333333"/>
          <w:kern w:val="0"/>
          <w:sz w:val="22"/>
          <w:szCs w:val="22"/>
        </w:rPr>
        <w:t>/2W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       无线集群板（接入车载台或对讲机）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>2V</w:t>
      </w:r>
      <w:r>
        <w:rPr>
          <w:rFonts w:ascii="宋体" w:hAnsi="宋体" w:cs="宋体"/>
          <w:color w:val="333333"/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       音频板（接调音台或音频矩阵等）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333333"/>
          <w:kern w:val="0"/>
          <w:sz w:val="22"/>
          <w:szCs w:val="22"/>
        </w:rPr>
      </w:pPr>
      <w:r>
        <w:rPr>
          <w:rFonts w:ascii="宋体" w:hAnsi="宋体" w:cs="宋体"/>
          <w:color w:val="333333"/>
          <w:kern w:val="0"/>
          <w:sz w:val="22"/>
          <w:szCs w:val="22"/>
        </w:rPr>
        <w:t>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>VC</w:t>
      </w:r>
      <w:r>
        <w:rPr>
          <w:rFonts w:ascii="宋体" w:hAnsi="宋体" w:cs="宋体"/>
          <w:color w:val="333333"/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 xml:space="preserve">       视频解码板</w:t>
      </w:r>
    </w:p>
    <w:p>
      <w:pPr>
        <w:rPr>
          <w:rFonts w:hint="eastAsia"/>
          <w:color w:val="333333"/>
          <w:sz w:val="22"/>
          <w:szCs w:val="22"/>
          <w:lang w:val="en-US" w:eastAsia="zh-CN"/>
        </w:rPr>
      </w:pPr>
    </w:p>
    <w:p>
      <w:pPr>
        <w:pStyle w:val="2"/>
      </w:pPr>
      <w:bookmarkStart w:id="4" w:name="_Toc39774326"/>
      <w:r>
        <w:rPr>
          <w:rFonts w:hint="eastAsia"/>
        </w:rPr>
        <w:t>机箱插槽说明</w:t>
      </w:r>
      <w:bookmarkEnd w:id="4"/>
    </w:p>
    <w:p>
      <w:pPr>
        <w:rPr>
          <w:rFonts w:hint="eastAsia"/>
          <w:color w:val="333333"/>
          <w:sz w:val="22"/>
          <w:szCs w:val="22"/>
          <w:lang w:val="en-US" w:eastAsia="zh-CN"/>
        </w:rPr>
      </w:pPr>
    </w:p>
    <w:p>
      <w:pPr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  <w:lang w:val="en-US" w:eastAsia="zh-CN"/>
        </w:rPr>
        <w:t>VL1000-ZL100</w:t>
      </w:r>
      <w:r>
        <w:rPr>
          <w:rFonts w:hint="eastAsia"/>
          <w:color w:val="333333"/>
          <w:sz w:val="22"/>
          <w:szCs w:val="22"/>
        </w:rPr>
        <w:t>采用1U标准机箱，宽434mm、深330mm、高44mm，可安装在符合IEC（International Electrotechnical Commission）标准的19英寸机柜中，</w:t>
      </w:r>
    </w:p>
    <w:p>
      <w:pPr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>其外观如图1所示</w:t>
      </w:r>
    </w:p>
    <w:p>
      <w:pPr>
        <w:rPr>
          <w:rFonts w:hint="eastAsia"/>
          <w:color w:val="333333"/>
          <w:sz w:val="22"/>
          <w:szCs w:val="22"/>
        </w:rPr>
      </w:pPr>
    </w:p>
    <w:p>
      <w:pPr>
        <w:rPr>
          <w:rFonts w:hint="eastAsia" w:eastAsia="宋体"/>
          <w:color w:val="333333"/>
          <w:sz w:val="22"/>
          <w:szCs w:val="22"/>
          <w:lang w:eastAsia="zh-CN"/>
        </w:rPr>
      </w:pPr>
      <w:r>
        <w:rPr>
          <w:rFonts w:hint="eastAsia" w:eastAsia="宋体"/>
          <w:color w:val="333333"/>
          <w:sz w:val="22"/>
          <w:szCs w:val="22"/>
          <w:lang w:eastAsia="zh-CN"/>
        </w:rPr>
        <w:drawing>
          <wp:inline distT="0" distB="0" distL="114300" distR="114300">
            <wp:extent cx="5270500" cy="1698625"/>
            <wp:effectExtent l="0" t="0" r="0" b="3175"/>
            <wp:docPr id="2" name="图片 2" descr="融合主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融合主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333333"/>
          <w:sz w:val="22"/>
          <w:szCs w:val="22"/>
        </w:rPr>
      </w:pPr>
    </w:p>
    <w:p>
      <w:pPr>
        <w:ind w:firstLine="3360" w:firstLineChars="1600"/>
        <w:rPr>
          <w:color w:val="333333"/>
          <w:sz w:val="22"/>
          <w:szCs w:val="22"/>
        </w:rPr>
      </w:pPr>
      <w:r>
        <w:rPr>
          <w:rFonts w:hint="eastAsia"/>
          <w:bCs/>
          <w:szCs w:val="21"/>
        </w:rPr>
        <w:t>图1：1</w:t>
      </w:r>
      <w:r>
        <w:rPr>
          <w:bCs/>
          <w:szCs w:val="21"/>
        </w:rPr>
        <w:t>U</w:t>
      </w:r>
      <w:r>
        <w:rPr>
          <w:rFonts w:hint="eastAsia"/>
          <w:bCs/>
          <w:szCs w:val="21"/>
        </w:rPr>
        <w:t>机箱示意图</w:t>
      </w:r>
    </w:p>
    <w:p>
      <w:pPr>
        <w:pStyle w:val="6"/>
        <w:spacing w:before="225" w:beforeAutospacing="0" w:after="0" w:afterAutospacing="0"/>
      </w:pPr>
      <w:r>
        <w:rPr>
          <w:rFonts w:hint="eastAsia"/>
          <w:color w:val="333333"/>
          <w:sz w:val="22"/>
          <w:szCs w:val="22"/>
        </w:rPr>
        <w:t>插槽位于机箱的正面。</w:t>
      </w:r>
      <w:r>
        <w:rPr>
          <w:rFonts w:hint="eastAsia"/>
          <w:color w:val="333333"/>
          <w:sz w:val="22"/>
          <w:szCs w:val="22"/>
          <w:lang w:val="en-US" w:eastAsia="zh-CN"/>
        </w:rPr>
        <w:t>VL1000-ZL100</w:t>
      </w:r>
      <w:r>
        <w:rPr>
          <w:rFonts w:hint="eastAsia"/>
          <w:color w:val="333333"/>
          <w:sz w:val="22"/>
          <w:szCs w:val="22"/>
        </w:rPr>
        <w:t>提供1个主控板插槽、4个业务板插槽。</w:t>
      </w:r>
    </w:p>
    <w:p>
      <w:pPr>
        <w:pStyle w:val="3"/>
        <w:spacing w:before="104" w:beforeAutospacing="0" w:after="0" w:afterAutospacing="0"/>
      </w:pPr>
      <w:r>
        <w:rPr>
          <w:rFonts w:ascii="Symbol" w:hAnsi="Symbol"/>
          <w:color w:val="333333"/>
          <w:sz w:val="22"/>
          <w:szCs w:val="22"/>
        </w:rPr>
        <w:t></w:t>
      </w:r>
      <w:r>
        <w:rPr>
          <w:rFonts w:hint="eastAsia"/>
          <w:color w:val="333333"/>
          <w:sz w:val="22"/>
          <w:szCs w:val="22"/>
        </w:rPr>
        <w:t>槽位2～5为业务板槽位，用于安装各种业务板，支持混插。</w:t>
      </w:r>
    </w:p>
    <w:p>
      <w:pPr>
        <w:pStyle w:val="3"/>
        <w:spacing w:before="104" w:beforeAutospacing="0" w:after="104" w:afterAutospacing="0"/>
      </w:pPr>
      <w:r>
        <w:rPr>
          <w:rFonts w:ascii="Symbol" w:hAnsi="Symbol"/>
          <w:color w:val="333333"/>
          <w:sz w:val="22"/>
          <w:szCs w:val="22"/>
        </w:rPr>
        <w:t></w:t>
      </w:r>
      <w:r>
        <w:rPr>
          <w:rFonts w:hint="eastAsia"/>
          <w:color w:val="333333"/>
          <w:sz w:val="22"/>
          <w:szCs w:val="22"/>
        </w:rPr>
        <w:t>槽位1为主控板槽位，用于安装CCU-N-GML 或 CCU-N-BAYL主控板。</w:t>
      </w:r>
    </w:p>
    <w:p>
      <w:pPr>
        <w:pStyle w:val="3"/>
        <w:spacing w:before="104" w:beforeAutospacing="0" w:after="104" w:afterAutospacing="0"/>
      </w:pPr>
      <w:r>
        <w:rPr>
          <w:rFonts w:ascii="Symbol" w:hAnsi="Symbol"/>
          <w:color w:val="333333"/>
          <w:sz w:val="22"/>
          <w:szCs w:val="22"/>
        </w:rPr>
        <w:t></w:t>
      </w:r>
      <w:r>
        <w:rPr>
          <w:rFonts w:hint="eastAsia"/>
          <w:color w:val="333333"/>
          <w:sz w:val="22"/>
          <w:szCs w:val="22"/>
        </w:rPr>
        <w:t>主控板想要拓展硬盘板，可将硬盘板插到槽位2，配合使用。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Symbol" w:hAnsi="Symbol" w:cs="Symbol"/>
          <w:color w:val="000000"/>
          <w:kern w:val="0"/>
          <w:sz w:val="19"/>
          <w:szCs w:val="19"/>
          <w:lang w:bidi="ar"/>
        </w:rPr>
        <w:t></w:t>
      </w:r>
      <w:r>
        <w:rPr>
          <w:rFonts w:ascii="宋体" w:hAnsi="宋体" w:cs="宋体"/>
          <w:color w:val="333333"/>
          <w:kern w:val="0"/>
          <w:sz w:val="22"/>
          <w:szCs w:val="22"/>
        </w:rPr>
        <w:t>1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>U</w:t>
      </w:r>
      <w:r>
        <w:rPr>
          <w:rFonts w:hint="eastAsia"/>
          <w:color w:val="333333"/>
          <w:sz w:val="22"/>
          <w:szCs w:val="22"/>
          <w:lang w:val="en-US" w:eastAsia="zh-CN"/>
        </w:rPr>
        <w:t>VL1000-ZL100</w:t>
      </w:r>
      <w:r>
        <w:rPr>
          <w:rFonts w:ascii="宋体" w:hAnsi="宋体" w:cs="宋体"/>
          <w:color w:val="333333"/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t>插槽方向 （75W额定功率</w:t>
      </w:r>
      <w:r>
        <w:rPr>
          <w:rFonts w:ascii="宋体" w:hAnsi="宋体" w:cs="宋体"/>
          <w:color w:val="333333"/>
          <w:kern w:val="0"/>
          <w:sz w:val="22"/>
          <w:szCs w:val="22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3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1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网络交换板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WUzNGRmY2Y5ZmQxMWYyOWRkNTQ3Zjc4Y2Y2MGYifQ=="/>
    <w:docVar w:name="KSO_WPS_MARK_KEY" w:val="8f40f6ff-20b2-4875-bd73-2db9a2726a5c"/>
  </w:docVars>
  <w:rsids>
    <w:rsidRoot w:val="00000000"/>
    <w:rsid w:val="545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12" w:beforeLines="10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p_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2024-09-21T05:58:15Z</dcterms:created>
  <dc:creator>LSJ</dc:creator>
  <cp:lastModifiedBy>李少軍</cp:lastModifiedBy>
  <dcterms:modified xsi:type="dcterms:W3CDTF">2024-09-21T06:09:32Z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B40A18EB09DD4186B821EED88F33E063_12</vt:lpwstr>
  </property>
</Properties>
</file>