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SOC-W06 IPA-EB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本协议转换器(接口转换器)采用大规模FPGA设计，ITU-T G.703标准非成帧（1~4） E1接口与1个10/100base-T以太网接口转换，10/100base-T通道将其传送到交换机、HUB、路由器、网桥或其他设备上。并能通过光端机等传输设备进行传输，联网后可组成不同网段。本设备是一种高性能、自适应式远程以太网桥。它体积小、成本低，很适宜对成本敏感的桥接应用，或作为比特流基础结构上的局域网延伸器或分段器。可自动不间断地学习与其相连的局域网上的MAC地址，并将目的地址作为另一局域网的帧转发。对TCP/IP协议透明，为网络中不同接口设备之间的通信提供安全、无缝的连接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504"/>
        <w:gridCol w:w="5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业务类型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业务端口</w:t>
            </w:r>
          </w:p>
        </w:tc>
        <w:tc>
          <w:tcPr>
            <w:tcW w:w="510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描述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传输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以太网接口</w:t>
            </w:r>
          </w:p>
        </w:tc>
        <w:tc>
          <w:tcPr>
            <w:tcW w:w="510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提供1个以太网接口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传输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E1接口</w:t>
            </w:r>
          </w:p>
        </w:tc>
        <w:tc>
          <w:tcPr>
            <w:tcW w:w="510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提供1对标准E1接口，用于传输以太网数据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电源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220V交流输入、工业端子</w:t>
            </w:r>
          </w:p>
        </w:tc>
        <w:tc>
          <w:tcPr>
            <w:tcW w:w="5109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/>
              </w:rPr>
              <w:t>可提供交直流的方式供电，交流220V、直流-48V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wZWZhZTM0MTU4ZjMyZjc2ODA2NmE1ODViM2I5NTkifQ=="/>
  </w:docVars>
  <w:rsids>
    <w:rsidRoot w:val="00000000"/>
    <w:rsid w:val="446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2024-04-12T00:48:36Z</dcterms:created>
  <dc:creator>36460</dc:creator>
  <cp:lastModifiedBy> 噗嗤</cp:lastModifiedBy>
  <dcterms:modified xsi:type="dcterms:W3CDTF">2024-04-12T00:53:36Z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FD8829CA584E4263B6C342EB5C4799DA_12</vt:lpwstr>
  </property>
</Properties>
</file>